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cs="宋体"/>
          <w:b/>
          <w:bCs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color w:val="000000"/>
          <w:sz w:val="44"/>
          <w:szCs w:val="44"/>
        </w:rPr>
        <w:t>江西省科学技术奖提名公示内容（自然奖）</w:t>
      </w:r>
    </w:p>
    <w:p>
      <w:pPr>
        <w:pStyle w:val="2"/>
        <w:numPr>
          <w:ilvl w:val="0"/>
          <w:numId w:val="1"/>
        </w:numPr>
        <w:spacing w:after="0" w:line="560" w:lineRule="exac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项目名称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eastAsia" w:eastAsia="仿宋_GB2312"/>
          <w:b/>
          <w:bCs/>
          <w:sz w:val="32"/>
          <w:szCs w:val="32"/>
          <w:lang w:eastAsia="zh-CN"/>
        </w:rPr>
      </w:pPr>
      <w:r>
        <w:rPr>
          <w:rFonts w:hint="eastAsia" w:eastAsia="仿宋_GB2312"/>
          <w:b/>
          <w:bCs/>
          <w:sz w:val="32"/>
          <w:szCs w:val="32"/>
          <w:lang w:eastAsia="zh-CN"/>
        </w:rPr>
        <w:t>基于双氧水调控的高灵敏信号输出体系设计、构建及应用</w:t>
      </w:r>
    </w:p>
    <w:p>
      <w:pPr>
        <w:pStyle w:val="2"/>
        <w:numPr>
          <w:ilvl w:val="0"/>
          <w:numId w:val="1"/>
        </w:numPr>
        <w:spacing w:after="0" w:line="560" w:lineRule="exac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提名者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default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eastAsia="仿宋_GB2312"/>
          <w:b/>
          <w:bCs/>
          <w:sz w:val="32"/>
          <w:szCs w:val="32"/>
          <w:lang w:val="en-US" w:eastAsia="zh-CN"/>
        </w:rPr>
        <w:t>江西省教育厅</w:t>
      </w:r>
    </w:p>
    <w:p>
      <w:pPr>
        <w:pStyle w:val="2"/>
        <w:numPr>
          <w:ilvl w:val="0"/>
          <w:numId w:val="1"/>
        </w:numPr>
        <w:spacing w:after="0" w:line="560" w:lineRule="exac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代表性论文（专著）目录</w:t>
      </w:r>
    </w:p>
    <w:p>
      <w:pPr>
        <w:pStyle w:val="2"/>
        <w:numPr>
          <w:ilvl w:val="0"/>
          <w:numId w:val="0"/>
        </w:numPr>
        <w:spacing w:after="0" w:line="560" w:lineRule="exact"/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24"/>
          <w:szCs w:val="24"/>
          <w:lang w:val="en-US" w:eastAsia="zh-CN"/>
        </w:rPr>
        <w:t xml:space="preserve">(1) 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 xml:space="preserve">Xiaolin Huang; Rui Chen; Hengyi Xu; Weihua Lai; 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</w:rPr>
        <w:t>Yonghua Xiong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>. (2016). Nanospherical brush as catalase container for enhancing the detection sensitivity of competitive plasmonic ELISA.</w:t>
      </w:r>
      <w:r>
        <w:rPr>
          <w:rFonts w:hint="default" w:ascii="Times New Roman" w:hAnsi="Times New Roman" w:eastAsia="仿宋_GB2312" w:cs="Times New Roman"/>
          <w:b w:val="0"/>
          <w:bCs w:val="0"/>
          <w:i/>
          <w:iCs/>
          <w:sz w:val="24"/>
          <w:szCs w:val="24"/>
        </w:rPr>
        <w:t xml:space="preserve"> Analytical chemistry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>, 88(3), 1951-1958.</w:t>
      </w:r>
    </w:p>
    <w:p>
      <w:pPr>
        <w:pStyle w:val="2"/>
        <w:numPr>
          <w:ilvl w:val="0"/>
          <w:numId w:val="0"/>
        </w:numPr>
        <w:spacing w:after="0" w:line="560" w:lineRule="exact"/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24"/>
          <w:szCs w:val="24"/>
          <w:lang w:val="en-US" w:eastAsia="zh-CN"/>
        </w:rPr>
        <w:t xml:space="preserve">(2) 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 xml:space="preserve">Rui Chen; Xiaolin Huang; Hengyi Xu; 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sz w:val="24"/>
          <w:szCs w:val="24"/>
        </w:rPr>
        <w:t>Yonghua Xiong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 xml:space="preserve">; Yanbin Li (2015). Plasmonic enzyme-linked immunosorbent assay using nanospherical brushes as a catalase container for colorimetric detection of ultralow concentrations of Listeria monocytogenes. </w:t>
      </w:r>
      <w:r>
        <w:rPr>
          <w:rFonts w:hint="default" w:ascii="Times New Roman" w:hAnsi="Times New Roman" w:eastAsia="仿宋_GB2312" w:cs="Times New Roman"/>
          <w:b w:val="0"/>
          <w:bCs w:val="0"/>
          <w:i/>
          <w:iCs/>
          <w:sz w:val="24"/>
          <w:szCs w:val="24"/>
        </w:rPr>
        <w:t>ACS Applied Materials &amp; Interfaces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>, 7(51), 28632-28639.</w:t>
      </w:r>
    </w:p>
    <w:p>
      <w:pPr>
        <w:pStyle w:val="2"/>
        <w:numPr>
          <w:ilvl w:val="0"/>
          <w:numId w:val="0"/>
        </w:numPr>
        <w:spacing w:after="0" w:line="560" w:lineRule="exact"/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24"/>
          <w:szCs w:val="24"/>
          <w:lang w:val="en-US" w:eastAsia="zh-CN"/>
        </w:rPr>
        <w:t xml:space="preserve">(3) 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</w:rPr>
        <w:t>Ying Xiong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 xml:space="preserve">, Ke Pei, Yunqing Wu, 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</w:rPr>
        <w:t>Hong Duan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 xml:space="preserve">, Weihua Lai, 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</w:rPr>
        <w:t>Yonghua Xiong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 xml:space="preserve"> (2018). Plasmonic ELISA based on enzyme-assisted etching of Au nanorods for the highly sensitive detection of aflatoxin B1 in corn samples. </w:t>
      </w:r>
      <w:r>
        <w:rPr>
          <w:rFonts w:hint="default" w:ascii="Times New Roman" w:hAnsi="Times New Roman" w:eastAsia="仿宋_GB2312" w:cs="Times New Roman"/>
          <w:b w:val="0"/>
          <w:bCs w:val="0"/>
          <w:i/>
          <w:iCs/>
          <w:sz w:val="24"/>
          <w:szCs w:val="24"/>
        </w:rPr>
        <w:t>Sensors and Actuators B: Chemical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>, 267, 320-327.</w:t>
      </w:r>
    </w:p>
    <w:p>
      <w:pPr>
        <w:pStyle w:val="2"/>
        <w:numPr>
          <w:ilvl w:val="0"/>
          <w:numId w:val="0"/>
        </w:numPr>
        <w:spacing w:after="0" w:line="560" w:lineRule="exact"/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24"/>
          <w:szCs w:val="24"/>
          <w:lang w:val="en-US" w:eastAsia="zh-CN"/>
        </w:rPr>
        <w:t xml:space="preserve">(4) 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 xml:space="preserve">Xiaolin Huang, Shengnan Zhan, Hengyi Xu, Xianwei Meng, 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</w:rPr>
        <w:t>Yonghua Xiong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 xml:space="preserve">, Xiaoyuan Chen (2016). Ultrasensitive fluorescence immunoassay for detection of ochratoxin A using catalase-mediated fluorescence quenching of CdTe QDs. </w:t>
      </w:r>
      <w:r>
        <w:rPr>
          <w:rFonts w:hint="default" w:ascii="Times New Roman" w:hAnsi="Times New Roman" w:eastAsia="仿宋_GB2312" w:cs="Times New Roman"/>
          <w:b w:val="0"/>
          <w:bCs w:val="0"/>
          <w:i/>
          <w:iCs/>
          <w:sz w:val="24"/>
          <w:szCs w:val="24"/>
        </w:rPr>
        <w:t>Nanoscale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>, 8(17), 9390-9397.</w:t>
      </w:r>
    </w:p>
    <w:p>
      <w:pPr>
        <w:pStyle w:val="2"/>
        <w:numPr>
          <w:ilvl w:val="0"/>
          <w:numId w:val="0"/>
        </w:numPr>
        <w:spacing w:after="0" w:line="560" w:lineRule="exact"/>
        <w:rPr>
          <w:rFonts w:eastAsia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24"/>
          <w:szCs w:val="24"/>
          <w:lang w:val="en-US" w:eastAsia="zh-CN"/>
        </w:rPr>
        <w:t xml:space="preserve">(5) 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</w:rPr>
        <w:t>Xirui Chen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 xml:space="preserve">, 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</w:rPr>
        <w:t>Yuankui Leng</w:t>
      </w:r>
      <w:r>
        <w:rPr>
          <w:rFonts w:hint="eastAsia" w:ascii="Times New Roman" w:hAnsi="Times New Roman" w:eastAsia="仿宋_GB2312" w:cs="Times New Roman"/>
          <w:b w:val="0"/>
          <w:bCs w:val="0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 xml:space="preserve"> Liangwen Hao, </w:t>
      </w:r>
      <w:r>
        <w:rPr>
          <w:rFonts w:hint="default" w:ascii="Times New Roman" w:hAnsi="Times New Roman" w:eastAsia="仿宋_GB2312" w:cs="Times New Roman"/>
          <w:b/>
          <w:bCs/>
          <w:sz w:val="24"/>
          <w:szCs w:val="24"/>
        </w:rPr>
        <w:t>Hong Duan</w:t>
      </w:r>
      <w:r>
        <w:rPr>
          <w:rFonts w:hint="eastAsia" w:ascii="Times New Roman" w:hAnsi="Times New Roman" w:eastAsia="仿宋_GB2312" w:cs="Times New Roman"/>
          <w:b w:val="0"/>
          <w:bCs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>Jing Yuan</w:t>
      </w:r>
      <w:r>
        <w:rPr>
          <w:rFonts w:hint="eastAsia" w:ascii="Times New Roman" w:hAnsi="Times New Roman" w:eastAsia="仿宋_GB2312" w:cs="Times New Roman"/>
          <w:b w:val="0"/>
          <w:bCs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>Wenjing Zhang</w:t>
      </w:r>
      <w:r>
        <w:rPr>
          <w:rFonts w:hint="eastAsia" w:ascii="Times New Roman" w:hAnsi="Times New Roman" w:eastAsia="仿宋_GB2312" w:cs="Times New Roman"/>
          <w:b w:val="0"/>
          <w:bCs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>Xiaolin Huang</w:t>
      </w:r>
      <w:r>
        <w:rPr>
          <w:rFonts w:hint="eastAsia" w:ascii="Times New Roman" w:hAnsi="Times New Roman" w:eastAsia="仿宋_GB2312" w:cs="Times New Roman"/>
          <w:b w:val="0"/>
          <w:bCs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>Yonghua Xiong</w:t>
      </w:r>
      <w:r>
        <w:rPr>
          <w:rFonts w:hint="eastAsia" w:ascii="Times New Roman" w:hAnsi="Times New Roman" w:eastAsia="仿宋_GB2312" w:cs="Times New Roman"/>
          <w:b w:val="0"/>
          <w:bCs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 xml:space="preserve">(2020). Self-assembled colloidal gold superparticles to enhance the sensitivity of lateral flow immunoassays with sandwich format. </w:t>
      </w:r>
      <w:r>
        <w:rPr>
          <w:rFonts w:hint="default" w:ascii="Times New Roman" w:hAnsi="Times New Roman" w:eastAsia="仿宋_GB2312" w:cs="Times New Roman"/>
          <w:b w:val="0"/>
          <w:bCs w:val="0"/>
          <w:i/>
          <w:iCs/>
          <w:sz w:val="24"/>
          <w:szCs w:val="24"/>
        </w:rPr>
        <w:t>Theranostics</w:t>
      </w:r>
      <w:r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</w:rPr>
        <w:t>, 10(8), 3737.</w:t>
      </w:r>
    </w:p>
    <w:p>
      <w:pPr>
        <w:pStyle w:val="2"/>
        <w:numPr>
          <w:ilvl w:val="0"/>
          <w:numId w:val="1"/>
        </w:numPr>
        <w:spacing w:after="0" w:line="560" w:lineRule="exac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完成人（完成单位）</w:t>
      </w:r>
    </w:p>
    <w:p>
      <w:pPr>
        <w:pStyle w:val="2"/>
        <w:spacing w:after="0" w:line="560" w:lineRule="exact"/>
        <w:ind w:left="0" w:leftChars="0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eastAsia="仿宋_GB2312"/>
          <w:b w:val="0"/>
          <w:bCs w:val="0"/>
          <w:sz w:val="32"/>
          <w:szCs w:val="32"/>
          <w:lang w:val="en-US" w:eastAsia="zh-CN"/>
        </w:rPr>
        <w:t xml:space="preserve">熊勇华 </w:t>
      </w:r>
      <w:r>
        <w:rPr>
          <w:rFonts w:hint="eastAsia" w:eastAsia="仿宋_GB2312"/>
          <w:b w:val="0"/>
          <w:bCs w:val="0"/>
          <w:sz w:val="32"/>
          <w:szCs w:val="32"/>
        </w:rPr>
        <w:t>南昌大学，</w:t>
      </w:r>
    </w:p>
    <w:p>
      <w:pPr>
        <w:pStyle w:val="2"/>
        <w:spacing w:after="0" w:line="560" w:lineRule="exact"/>
        <w:ind w:left="0" w:leftChars="0"/>
        <w:rPr>
          <w:rFonts w:hint="eastAsia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eastAsia="仿宋_GB2312"/>
          <w:b w:val="0"/>
          <w:bCs w:val="0"/>
          <w:sz w:val="32"/>
          <w:szCs w:val="32"/>
          <w:lang w:val="en-US" w:eastAsia="zh-CN"/>
        </w:rPr>
        <w:t>陈樨蕊 南昌大学</w:t>
      </w:r>
    </w:p>
    <w:p>
      <w:pPr>
        <w:pStyle w:val="2"/>
        <w:spacing w:after="0" w:line="560" w:lineRule="exact"/>
        <w:ind w:left="0" w:leftChars="0"/>
        <w:rPr>
          <w:rFonts w:hint="eastAsia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eastAsia="仿宋_GB2312"/>
          <w:b w:val="0"/>
          <w:bCs w:val="0"/>
          <w:sz w:val="32"/>
          <w:szCs w:val="32"/>
          <w:lang w:val="en-US" w:eastAsia="zh-CN"/>
        </w:rPr>
        <w:t xml:space="preserve">熊  颖 </w:t>
      </w:r>
      <w:r>
        <w:rPr>
          <w:rFonts w:hint="eastAsia" w:eastAsia="仿宋_GB2312"/>
          <w:b w:val="0"/>
          <w:bCs w:val="0"/>
          <w:sz w:val="32"/>
          <w:szCs w:val="32"/>
        </w:rPr>
        <w:t>中南林业科技大学</w:t>
      </w:r>
    </w:p>
    <w:p>
      <w:pPr>
        <w:pStyle w:val="2"/>
        <w:spacing w:after="0" w:line="560" w:lineRule="exact"/>
        <w:ind w:left="0" w:leftChars="0"/>
        <w:rPr>
          <w:rFonts w:hint="eastAsia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eastAsia="仿宋_GB2312"/>
          <w:b w:val="0"/>
          <w:bCs w:val="0"/>
          <w:sz w:val="32"/>
          <w:szCs w:val="32"/>
          <w:lang w:val="en-US" w:eastAsia="zh-CN"/>
        </w:rPr>
        <w:t>冷远逵 南昌大学</w:t>
      </w:r>
    </w:p>
    <w:p>
      <w:pPr>
        <w:pStyle w:val="2"/>
        <w:spacing w:after="0" w:line="560" w:lineRule="exact"/>
        <w:ind w:left="0" w:leftChars="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eastAsia="仿宋_GB2312"/>
          <w:b w:val="0"/>
          <w:bCs w:val="0"/>
          <w:sz w:val="32"/>
          <w:szCs w:val="32"/>
          <w:lang w:val="en-US" w:eastAsia="zh-CN"/>
        </w:rPr>
        <w:t xml:space="preserve">段  宏 </w:t>
      </w:r>
      <w:r>
        <w:rPr>
          <w:rFonts w:hint="eastAsia" w:eastAsia="仿宋_GB2312"/>
          <w:b w:val="0"/>
          <w:bCs w:val="0"/>
          <w:sz w:val="32"/>
          <w:szCs w:val="32"/>
        </w:rPr>
        <w:t>北京工商大学</w:t>
      </w:r>
    </w:p>
    <w:p>
      <w:pPr>
        <w:pStyle w:val="2"/>
        <w:spacing w:after="0" w:line="560" w:lineRule="exact"/>
        <w:ind w:left="0" w:leftChars="0"/>
        <w:rPr>
          <w:rFonts w:eastAsia="仿宋_GB2312"/>
          <w:b/>
          <w:bCs/>
          <w:sz w:val="32"/>
          <w:szCs w:val="32"/>
        </w:rPr>
      </w:pPr>
    </w:p>
    <w:p>
      <w:pPr>
        <w:pStyle w:val="2"/>
        <w:spacing w:after="0" w:line="560" w:lineRule="exact"/>
        <w:ind w:left="0" w:leftChars="0"/>
        <w:rPr>
          <w:rFonts w:eastAsia="仿宋_GB2312"/>
          <w:b/>
          <w:bCs/>
          <w:sz w:val="32"/>
          <w:szCs w:val="32"/>
        </w:rPr>
      </w:pPr>
    </w:p>
    <w:p>
      <w:pPr>
        <w:pStyle w:val="2"/>
        <w:spacing w:after="0" w:line="560" w:lineRule="exact"/>
        <w:ind w:left="0" w:leftChars="0"/>
        <w:rPr>
          <w:rFonts w:eastAsia="仿宋_GB2312"/>
          <w:b/>
          <w:bCs/>
          <w:sz w:val="32"/>
          <w:szCs w:val="32"/>
        </w:rPr>
      </w:pPr>
    </w:p>
    <w:p>
      <w:pPr>
        <w:pStyle w:val="2"/>
        <w:spacing w:after="0" w:line="560" w:lineRule="exact"/>
        <w:ind w:left="0" w:leftChars="0"/>
        <w:rPr>
          <w:rFonts w:eastAsia="仿宋_GB2312"/>
          <w:b/>
          <w:bCs/>
          <w:sz w:val="32"/>
          <w:szCs w:val="32"/>
        </w:rPr>
      </w:pPr>
    </w:p>
    <w:p>
      <w:pPr>
        <w:rPr>
          <w:rFonts w:eastAsia="仿宋_GB231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文泉驿微米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仿宋_GB2312">
    <w:altName w:val="文泉驿微米黑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51252B"/>
    <w:multiLevelType w:val="singleLevel"/>
    <w:tmpl w:val="C251252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0FD"/>
    <w:rsid w:val="00366969"/>
    <w:rsid w:val="005B6181"/>
    <w:rsid w:val="00B15A50"/>
    <w:rsid w:val="00D310FD"/>
    <w:rsid w:val="12DB157D"/>
    <w:rsid w:val="22CE3412"/>
    <w:rsid w:val="41457B70"/>
    <w:rsid w:val="453E2A4D"/>
    <w:rsid w:val="60D31DAF"/>
    <w:rsid w:val="72050845"/>
    <w:rsid w:val="72F86B03"/>
    <w:rsid w:val="7FB56A03"/>
    <w:rsid w:val="7FC1685C"/>
    <w:rsid w:val="F764E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0"/>
    <w:pPr>
      <w:keepNext/>
      <w:keepLines/>
      <w:spacing w:before="720" w:after="360" w:line="560" w:lineRule="exact"/>
      <w:outlineLvl w:val="0"/>
    </w:pPr>
    <w:rPr>
      <w:rFonts w:ascii="Calibri" w:hAnsi="Calibri" w:cs="Calibri"/>
      <w:b/>
      <w:bCs/>
      <w:color w:val="000000"/>
      <w:kern w:val="44"/>
      <w:sz w:val="44"/>
      <w:szCs w:val="44"/>
      <w:u w:color="000000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line="560" w:lineRule="exact"/>
      <w:jc w:val="left"/>
      <w:outlineLvl w:val="1"/>
    </w:pPr>
    <w:rPr>
      <w:rFonts w:ascii="Arial" w:hAnsi="Arial" w:eastAsia="黑体" w:cs="Calibri"/>
      <w:b/>
      <w:color w:val="000000"/>
      <w:sz w:val="32"/>
      <w:szCs w:val="21"/>
      <w:u w:color="00000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qFormat/>
    <w:uiPriority w:val="0"/>
    <w:pPr>
      <w:spacing w:after="120"/>
      <w:ind w:left="420" w:leftChars="200"/>
    </w:pPr>
    <w:rPr>
      <w:rFonts w:ascii="Calibri" w:hAnsi="Calibri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标题 1 字符"/>
    <w:link w:val="3"/>
    <w:qFormat/>
    <w:uiPriority w:val="9"/>
    <w:rPr>
      <w:rFonts w:ascii="Calibri" w:hAnsi="Calibri" w:eastAsia="宋体" w:cs="Calibri"/>
      <w:b/>
      <w:bCs/>
      <w:color w:val="000000"/>
      <w:kern w:val="44"/>
      <w:sz w:val="44"/>
      <w:szCs w:val="44"/>
      <w:u w:val="none" w:color="000000"/>
    </w:rPr>
  </w:style>
  <w:style w:type="character" w:customStyle="1" w:styleId="11">
    <w:name w:val="页眉 字符"/>
    <w:basedOn w:val="8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页脚 字符"/>
    <w:basedOn w:val="8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3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424</Words>
  <Characters>426</Characters>
  <Lines>94</Lines>
  <Paragraphs>37</Paragraphs>
  <TotalTime>31</TotalTime>
  <ScaleCrop>false</ScaleCrop>
  <LinksUpToDate>false</LinksUpToDate>
  <CharactersWithSpaces>428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2026-09-16T10:19:00Z</dcterms:created>
  <dc:creator>hp</dc:creator>
  <cp:lastModifiedBy>罗</cp:lastModifiedBy>
  <dcterms:modified xsi:type="dcterms:W3CDTF">2026-11-05T15:46:47Z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E9549F3F15E94E48AA588447D06D3916_12</vt:lpwstr>
  </property>
  <property fmtid="{D5CDD505-2E9C-101B-9397-08002B2CF9AE}" pid="4" name="KSOTemplateDocerSaveRecord">
    <vt:lpwstr>eyJoZGlkIjoiMjdjOGRjODg4OTVlM2ZmZGJjYzIyMTI1MDUzNzgzOGIiLCJ1c2VySWQiOiIyMzgxOTcxNTUifQ==</vt:lpwstr>
  </property>
</Properties>
</file>